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Convocatòria de premsa:</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b w:val="1"/>
          <w:i w:val="1"/>
          <w:sz w:val="24"/>
          <w:szCs w:val="24"/>
          <w:rtl w:val="0"/>
        </w:rPr>
        <w:t xml:space="preserve">Presentació de l’acte “Les veus de Srebrenica” en commemoració del genocidi succeït farà 20 anys</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Barcelona, 29 de juny de 2015</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El promotor de la Fundació Districte 11_City to city, Manel Vila, i el director de l’Observatori Europeu de Memòries, Jordi Guixé us conviden a la roda de premsa que es realitzarà aquest dimarts 30 de juny a les 11h a la sala espai 300 del Born Centre Cultural.</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El motiu de la convocatòria és anunciar la programació d’activitats previstes pel dissabte 11 de juliol. La data marca el genocidi de Srebrenica i ha estat declarada pel Parlament Europeu dia oficial de record i memòria. A Barcelona les activitats han estat organitzades amb el suport de l’Ajuntament de Barcelona i començaran el dia 9 de juliol.</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Manel Vila i Jordi Guixé estaran acompanyats de César Lopez, activista per la pau, impulsor i creador del projecte “Escopetarra” que consisteix en convertir armes de foc en guitarres. Al finalitzar la roda de premsa s’interpretaràn un parell de cançons amb aquest instrument. També estarà present el fotògraf Alfons Rodríguez, autor de les imatges de l’exposició </w:t>
      </w:r>
      <w:r w:rsidDel="00000000" w:rsidR="00000000" w:rsidRPr="00000000">
        <w:rPr>
          <w:rFonts w:ascii="Century Gothic" w:cs="Century Gothic" w:eastAsia="Century Gothic" w:hAnsi="Century Gothic"/>
          <w:b w:val="1"/>
          <w:i w:val="1"/>
          <w:sz w:val="24"/>
          <w:szCs w:val="24"/>
          <w:rtl w:val="0"/>
        </w:rPr>
        <w:t xml:space="preserve">Srebrenica, Memòria d’un genocidi</w:t>
      </w:r>
      <w:r w:rsidDel="00000000" w:rsidR="00000000" w:rsidRPr="00000000">
        <w:rPr>
          <w:rFonts w:ascii="Century Gothic" w:cs="Century Gothic" w:eastAsia="Century Gothic" w:hAnsi="Century Gothic"/>
          <w:i w:val="1"/>
          <w:sz w:val="24"/>
          <w:szCs w:val="24"/>
          <w:rtl w:val="0"/>
        </w:rPr>
        <w:t xml:space="preserve">, que s’inaugurarà simultàniament a Barcelona i Sarajevo al voltant de les commemoracions.</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b w:val="1"/>
          <w:i w:val="1"/>
          <w:sz w:val="24"/>
          <w:szCs w:val="24"/>
          <w:rtl w:val="0"/>
        </w:rPr>
        <w:t xml:space="preserve">Fundació Districte 11 city to city</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La Fundació Districte 11 city to city s’ha constituït tot just fa uns mesos, promoguda per Manel Vila, i prové del projecte inicialment engegat per l’alcalde de Barcelona, Pasqual Maragall, i el seu nom s’explica pel fet que a la ciutat només hi ha 10 districtes. Per això, quan es va decidir donar suport a Sarajevo, es va pensar que la millor manera possible era considerar la ciutat com una part més de Barcelona, convertint-la per tant en el districte número 11. La Fundació Districte 11 City to city, s’ha pogut constituir gràcies a un sistema de finançament de crowfounding, mitjançant el qual s’ha aconseguit reunir 30.000 euros.</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after="0" w:line="276" w:lineRule="auto"/>
        <w:contextualSpacing w:val="0"/>
        <w:jc w:val="both"/>
      </w:pPr>
      <w:r w:rsidDel="00000000" w:rsidR="00000000" w:rsidRPr="00000000">
        <w:rPr>
          <w:rFonts w:ascii="Century Gothic" w:cs="Century Gothic" w:eastAsia="Century Gothic" w:hAnsi="Century Gothic"/>
          <w:b w:val="1"/>
          <w:i w:val="1"/>
          <w:sz w:val="24"/>
          <w:szCs w:val="24"/>
          <w:rtl w:val="0"/>
        </w:rPr>
        <w:t xml:space="preserve">Observatori Europeu de Memòries</w:t>
      </w:r>
    </w:p>
    <w:p w:rsidR="00000000" w:rsidDel="00000000" w:rsidP="00000000" w:rsidRDefault="00000000" w:rsidRPr="00000000">
      <w:pPr>
        <w:spacing w:after="0"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L’EUROM-European Observatory on Memories és una xarxa d’organitzacions i entitats compromeses amb la memòria històrica a Europa. El seu objectiu és analitzar i promoure polítiques públiques que ajudin a reflexionar sobre els esdeveniments traumàtics de la història recent com és el cas de la matança de Srebrenica, un dels episodis més terribles del segle XX a Europa. L’EUROM està impulsat per la Fundació Solidaritat de la Universitat de Barcelona i per la Comissió Europea.</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contextualSpacing w:val="0"/>
        <w:jc w:val="both"/>
      </w:pPr>
      <w:r w:rsidDel="00000000" w:rsidR="00000000" w:rsidRPr="00000000">
        <w:rPr>
          <w:rFonts w:ascii="Century Gothic" w:cs="Century Gothic" w:eastAsia="Century Gothic" w:hAnsi="Century Gothic"/>
          <w:i w:val="1"/>
          <w:sz w:val="24"/>
          <w:szCs w:val="24"/>
          <w:rtl w:val="0"/>
        </w:rPr>
        <w:t xml:space="preserve">Recordatori:</w:t>
      </w:r>
    </w:p>
    <w:p w:rsidR="00000000" w:rsidDel="00000000" w:rsidP="00000000" w:rsidRDefault="00000000" w:rsidRPr="00000000">
      <w:pPr>
        <w:contextualSpacing w:val="0"/>
        <w:jc w:val="both"/>
      </w:pPr>
      <w:r w:rsidDel="00000000" w:rsidR="00000000" w:rsidRPr="00000000">
        <w:rPr>
          <w:rFonts w:ascii="Century Gothic" w:cs="Century Gothic" w:eastAsia="Century Gothic" w:hAnsi="Century Gothic"/>
          <w:i w:val="1"/>
          <w:sz w:val="24"/>
          <w:szCs w:val="24"/>
          <w:rtl w:val="0"/>
        </w:rPr>
        <w:t xml:space="preserve">Dia: Dimarts,30dejuny</w:t>
      </w:r>
    </w:p>
    <w:p w:rsidR="00000000" w:rsidDel="00000000" w:rsidP="00000000" w:rsidRDefault="00000000" w:rsidRPr="00000000">
      <w:pPr>
        <w:contextualSpacing w:val="0"/>
        <w:jc w:val="both"/>
      </w:pPr>
      <w:r w:rsidDel="00000000" w:rsidR="00000000" w:rsidRPr="00000000">
        <w:rPr>
          <w:rFonts w:ascii="Century Gothic" w:cs="Century Gothic" w:eastAsia="Century Gothic" w:hAnsi="Century Gothic"/>
          <w:i w:val="1"/>
          <w:sz w:val="24"/>
          <w:szCs w:val="24"/>
          <w:rtl w:val="0"/>
        </w:rPr>
        <w:t xml:space="preserve">Hora: 11h del matí</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Lloc: Espai 300 Born Centre Cultural</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 </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Per a més informació/Jordi Caupena/tel.620 20 82 55</w:t>
      </w:r>
    </w:p>
    <w:p w:rsidR="00000000" w:rsidDel="00000000" w:rsidP="00000000" w:rsidRDefault="00000000" w:rsidRPr="00000000">
      <w:pPr>
        <w:spacing w:line="276" w:lineRule="auto"/>
        <w:contextualSpacing w:val="0"/>
        <w:jc w:val="both"/>
      </w:pPr>
      <w:r w:rsidDel="00000000" w:rsidR="00000000" w:rsidRPr="00000000">
        <w:rPr>
          <w:rFonts w:ascii="Century Gothic" w:cs="Century Gothic" w:eastAsia="Century Gothic" w:hAnsi="Century Gothic"/>
          <w:i w:val="1"/>
          <w:sz w:val="24"/>
          <w:szCs w:val="24"/>
          <w:rtl w:val="0"/>
        </w:rPr>
        <w:t xml:space="preserve">Fernanda Zanuzzi/Observatori Europeu de Memòries/tel.685 82 12 03</w:t>
      </w:r>
    </w:p>
    <w:p w:rsidR="00000000" w:rsidDel="00000000" w:rsidP="00000000" w:rsidRDefault="00000000" w:rsidRPr="00000000">
      <w:pPr>
        <w:spacing w:line="276" w:lineRule="auto"/>
        <w:contextualSpacing w:val="0"/>
        <w:jc w:val="both"/>
      </w:pPr>
      <w:r w:rsidDel="00000000" w:rsidR="00000000" w:rsidRPr="00000000">
        <w:rPr>
          <w:rtl w:val="0"/>
        </w:rPr>
      </w:r>
    </w:p>
    <w:sectPr>
      <w:headerReference r:id="rId5" w:type="default"/>
      <w:pgSz w:h="16838" w:w="11906"/>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entury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3581400</wp:posOffset>
          </wp:positionH>
          <wp:positionV relativeFrom="paragraph">
            <wp:posOffset>195263</wp:posOffset>
          </wp:positionV>
          <wp:extent cx="1828800" cy="609600"/>
          <wp:effectExtent b="0" l="0" r="0" t="0"/>
          <wp:wrapSquare wrapText="bothSides" distB="0" distT="0" distL="0" distR="0"/>
          <wp:docPr descr="D:\Usuarios\anovella\AppData\Local\Microsoft\Windows\Temporary Internet Files\Content.IE5\ABL9N3T7\logo-Districte-11---color.png" id="1" name="image01.png"/>
          <a:graphic>
            <a:graphicData uri="http://schemas.openxmlformats.org/drawingml/2006/picture">
              <pic:pic>
                <pic:nvPicPr>
                  <pic:cNvPr descr="D:\Usuarios\anovella\AppData\Local\Microsoft\Windows\Temporary Internet Files\Content.IE5\ABL9N3T7\logo-Districte-11---color.png" id="0" name="image01.png"/>
                  <pic:cNvPicPr preferRelativeResize="0"/>
                </pic:nvPicPr>
                <pic:blipFill>
                  <a:blip r:embed="rId1"/>
                  <a:srcRect b="0" l="0" r="0" t="0"/>
                  <a:stretch>
                    <a:fillRect/>
                  </a:stretch>
                </pic:blipFill>
                <pic:spPr>
                  <a:xfrm>
                    <a:off x="0" y="0"/>
                    <a:ext cx="1828800" cy="609600"/>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71438</wp:posOffset>
          </wp:positionV>
          <wp:extent cx="2243138" cy="616491"/>
          <wp:effectExtent b="0" l="0" r="0" t="0"/>
          <wp:wrapSquare wrapText="bothSides" distB="114300" distT="114300" distL="114300" distR="114300"/>
          <wp:docPr descr="LOGO-EUROM-CARTES_ENG.png" id="2" name="image03.png"/>
          <a:graphic>
            <a:graphicData uri="http://schemas.openxmlformats.org/drawingml/2006/picture">
              <pic:pic>
                <pic:nvPicPr>
                  <pic:cNvPr descr="LOGO-EUROM-CARTES_ENG.png" id="0" name="image03.png"/>
                  <pic:cNvPicPr preferRelativeResize="0"/>
                </pic:nvPicPr>
                <pic:blipFill>
                  <a:blip r:embed="rId2"/>
                  <a:srcRect b="0" l="0" r="0" t="0"/>
                  <a:stretch>
                    <a:fillRect/>
                  </a:stretch>
                </pic:blipFill>
                <pic:spPr>
                  <a:xfrm>
                    <a:off x="0" y="0"/>
                    <a:ext cx="2243138" cy="616491"/>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03.png"/><Relationship Id="rId1" Type="http://schemas.openxmlformats.org/officeDocument/2006/relationships/image" Target="media/image01.png"/></Relationships>
</file>